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EA" w:rsidRPr="002F05EA" w:rsidRDefault="002F05EA" w:rsidP="002F05EA">
      <w:pPr>
        <w:shd w:val="clear" w:color="auto" w:fill="FFFFFF"/>
        <w:spacing w:before="375" w:after="525" w:line="240" w:lineRule="auto"/>
        <w:outlineLvl w:val="0"/>
        <w:rPr>
          <w:rFonts w:ascii="CuprumFFURegular" w:eastAsia="Times New Roman" w:hAnsi="CuprumFFURegular" w:cs="Times New Roman"/>
          <w:b/>
          <w:color w:val="2D4BBD"/>
          <w:kern w:val="36"/>
          <w:sz w:val="42"/>
          <w:szCs w:val="42"/>
          <w:lang w:eastAsia="ru-RU"/>
        </w:rPr>
      </w:pPr>
      <w:r w:rsidRPr="002F05EA">
        <w:rPr>
          <w:rFonts w:ascii="CuprumFFURegular" w:eastAsia="Times New Roman" w:hAnsi="CuprumFFURegular" w:cs="Times New Roman"/>
          <w:b/>
          <w:color w:val="2D4BBD"/>
          <w:kern w:val="36"/>
          <w:sz w:val="42"/>
          <w:szCs w:val="42"/>
          <w:lang w:eastAsia="ru-RU"/>
        </w:rPr>
        <w:t>Тележка-</w:t>
      </w:r>
      <w:proofErr w:type="spellStart"/>
      <w:r w:rsidRPr="002F05EA">
        <w:rPr>
          <w:rFonts w:ascii="CuprumFFURegular" w:eastAsia="Times New Roman" w:hAnsi="CuprumFFURegular" w:cs="Times New Roman"/>
          <w:b/>
          <w:color w:val="2D4BBD"/>
          <w:kern w:val="36"/>
          <w:sz w:val="42"/>
          <w:szCs w:val="42"/>
          <w:lang w:eastAsia="ru-RU"/>
        </w:rPr>
        <w:t>бочкокантователь</w:t>
      </w:r>
      <w:proofErr w:type="spellEnd"/>
      <w:r w:rsidRPr="002F05EA">
        <w:rPr>
          <w:rFonts w:ascii="CuprumFFURegular" w:eastAsia="Times New Roman" w:hAnsi="CuprumFFURegular" w:cs="Times New Roman"/>
          <w:b/>
          <w:color w:val="2D4BBD"/>
          <w:kern w:val="36"/>
          <w:sz w:val="42"/>
          <w:szCs w:val="42"/>
          <w:lang w:eastAsia="ru-RU"/>
        </w:rPr>
        <w:t xml:space="preserve"> HD80A</w:t>
      </w:r>
    </w:p>
    <w:p w:rsidR="002F05EA" w:rsidRPr="002F05EA" w:rsidRDefault="002F05EA" w:rsidP="002F05EA">
      <w:pPr>
        <w:shd w:val="clear" w:color="auto" w:fill="FFFFFF"/>
        <w:spacing w:after="180" w:line="240" w:lineRule="auto"/>
        <w:jc w:val="both"/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</w:pPr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br/>
        <w:t>Предназначена для сортировки и розлива в мелкую тару содержимого складированных бочек. Мобильная тележка с легким поворотом бочки.</w:t>
      </w:r>
    </w:p>
    <w:p w:rsidR="002F05EA" w:rsidRPr="002F05EA" w:rsidRDefault="002F05EA" w:rsidP="002F05EA">
      <w:pPr>
        <w:shd w:val="clear" w:color="auto" w:fill="FFFFFF"/>
        <w:spacing w:after="180" w:line="240" w:lineRule="auto"/>
        <w:jc w:val="both"/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</w:pPr>
      <w:r w:rsidRPr="002F05EA">
        <w:rPr>
          <w:rFonts w:ascii="CuprumFFURegular" w:eastAsia="Times New Roman" w:hAnsi="CuprumFFURegular" w:cs="Times New Roman"/>
          <w:noProof/>
          <w:color w:val="6D6D6D"/>
          <w:sz w:val="24"/>
          <w:szCs w:val="24"/>
          <w:lang w:eastAsia="ru-RU"/>
        </w:rPr>
        <w:drawing>
          <wp:inline distT="0" distB="0" distL="0" distR="0">
            <wp:extent cx="5715000" cy="3324225"/>
            <wp:effectExtent l="0" t="0" r="0" b="9525"/>
            <wp:docPr id="1" name="Рисунок 1" descr="http://www.sklad52.ru/assets/images/tovar/hd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klad52.ru/assets/images/tovar/hd8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202" w:type="dxa"/>
        <w:tblInd w:w="1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2333"/>
      </w:tblGrid>
      <w:tr w:rsidR="002F05EA" w:rsidRPr="002F05EA" w:rsidTr="002F05EA">
        <w:trPr>
          <w:trHeight w:val="229"/>
        </w:trPr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Диаметр бочки, мм.</w:t>
            </w:r>
          </w:p>
        </w:tc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572</w:t>
            </w:r>
          </w:p>
        </w:tc>
      </w:tr>
      <w:tr w:rsidR="002F05EA" w:rsidRPr="002F05EA" w:rsidTr="002F05EA">
        <w:trPr>
          <w:trHeight w:val="233"/>
        </w:trPr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Поворот бочки</w:t>
            </w:r>
          </w:p>
        </w:tc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ручной</w:t>
            </w:r>
          </w:p>
        </w:tc>
      </w:tr>
      <w:tr w:rsidR="002F05EA" w:rsidRPr="002F05EA" w:rsidTr="002F05EA">
        <w:trPr>
          <w:trHeight w:val="229"/>
        </w:trPr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Грузоподъемность, кг.</w:t>
            </w:r>
          </w:p>
        </w:tc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364</w:t>
            </w:r>
          </w:p>
        </w:tc>
      </w:tr>
      <w:tr w:rsidR="002F05EA" w:rsidRPr="002F05EA" w:rsidTr="002F05EA">
        <w:trPr>
          <w:trHeight w:val="10"/>
        </w:trPr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Вес, кг.</w:t>
            </w:r>
          </w:p>
        </w:tc>
        <w:tc>
          <w:tcPr>
            <w:tcW w:w="0" w:type="auto"/>
            <w:tcBorders>
              <w:top w:val="single" w:sz="6" w:space="0" w:color="D0CFCF"/>
              <w:left w:val="single" w:sz="6" w:space="0" w:color="D0CFCF"/>
              <w:bottom w:val="single" w:sz="6" w:space="0" w:color="D0CFCF"/>
              <w:right w:val="single" w:sz="6" w:space="0" w:color="D0CFCF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05EA" w:rsidRPr="002F05EA" w:rsidRDefault="002F05EA" w:rsidP="002F05EA">
            <w:pPr>
              <w:spacing w:after="525" w:line="240" w:lineRule="auto"/>
              <w:jc w:val="center"/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</w:pPr>
            <w:r w:rsidRPr="002F05EA">
              <w:rPr>
                <w:rFonts w:ascii="CuprumFFURegular" w:eastAsia="Times New Roman" w:hAnsi="CuprumFFURegular" w:cs="Times New Roman"/>
                <w:color w:val="A5A5A5"/>
                <w:sz w:val="24"/>
                <w:szCs w:val="24"/>
                <w:lang w:eastAsia="ru-RU"/>
              </w:rPr>
              <w:t>50</w:t>
            </w:r>
          </w:p>
        </w:tc>
      </w:tr>
    </w:tbl>
    <w:p w:rsidR="002F05EA" w:rsidRDefault="002F05EA" w:rsidP="002F05EA">
      <w:pPr>
        <w:shd w:val="clear" w:color="auto" w:fill="FFFFFF"/>
        <w:spacing w:after="180" w:line="240" w:lineRule="auto"/>
        <w:jc w:val="both"/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</w:pPr>
    </w:p>
    <w:p w:rsidR="002F05EA" w:rsidRPr="002F05EA" w:rsidRDefault="002F05EA" w:rsidP="002F05EA">
      <w:pPr>
        <w:shd w:val="clear" w:color="auto" w:fill="FFFFFF"/>
        <w:spacing w:after="180" w:line="240" w:lineRule="auto"/>
        <w:jc w:val="both"/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</w:pPr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>Тележка-</w:t>
      </w:r>
      <w:proofErr w:type="spellStart"/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>бочкокантователь</w:t>
      </w:r>
      <w:proofErr w:type="spellEnd"/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 xml:space="preserve"> HD80A – это многофункциональное устройство, позволяющее перевозить, наклонять и переворачивать бочки. С ее помощью вы можете производить розлив жидких веществ из двухсотлитровой емкости в мелкую тару. При этом не требуется значительных усилий и каких-либо специальных знаний. HD80A оснащена ручным управлением и двойными фиксаторами, которые обеспечивают удержание бочек </w:t>
      </w:r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lastRenderedPageBreak/>
        <w:t>на определенной высоте. Имеется возможность горизонтальной фиксации емкости в положение слива, а также вертикальной фиксации для транспортировки груза.</w:t>
      </w:r>
    </w:p>
    <w:p w:rsidR="002F05EA" w:rsidRPr="002F05EA" w:rsidRDefault="002F05EA" w:rsidP="002F05EA">
      <w:pPr>
        <w:shd w:val="clear" w:color="auto" w:fill="FFFFFF"/>
        <w:spacing w:after="180" w:line="240" w:lineRule="auto"/>
        <w:jc w:val="both"/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</w:pPr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>Помимо розлива и перевозки, тележка-</w:t>
      </w:r>
      <w:proofErr w:type="spellStart"/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>кантователь</w:t>
      </w:r>
      <w:proofErr w:type="spellEnd"/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 xml:space="preserve"> HD80A применима для перемешивания содержимого в емкости. Это, пожалуй, единственное оборудование, которое при минимальных усилиях обеспечивает эффективный результат при взбалтывании или перемешивании жидкостей в 200 литровых бочках.</w:t>
      </w:r>
    </w:p>
    <w:p w:rsidR="002F05EA" w:rsidRPr="002F05EA" w:rsidRDefault="002F05EA" w:rsidP="002F05EA">
      <w:pPr>
        <w:shd w:val="clear" w:color="auto" w:fill="FFFFFF"/>
        <w:spacing w:after="180" w:line="240" w:lineRule="auto"/>
        <w:jc w:val="both"/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</w:pPr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>Тележка HD80A оснащена трехколесной опорой: два больших колеса и одно маленькое (для маневренности и устойчивости). Грузоподъемность тележки-</w:t>
      </w:r>
      <w:proofErr w:type="spellStart"/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>кантователя</w:t>
      </w:r>
      <w:proofErr w:type="spellEnd"/>
      <w:r w:rsidRPr="002F05EA">
        <w:rPr>
          <w:rFonts w:ascii="CuprumFFURegular" w:eastAsia="Times New Roman" w:hAnsi="CuprumFFURegular" w:cs="Times New Roman"/>
          <w:color w:val="6D6D6D"/>
          <w:sz w:val="24"/>
          <w:szCs w:val="24"/>
          <w:lang w:eastAsia="ru-RU"/>
        </w:rPr>
        <w:t xml:space="preserve"> HD80A составляет 364 кг.</w:t>
      </w:r>
    </w:p>
    <w:p w:rsidR="002C3819" w:rsidRDefault="00177B87"/>
    <w:sectPr w:rsidR="002C3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FFU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EA"/>
    <w:rsid w:val="00177B87"/>
    <w:rsid w:val="002F05EA"/>
    <w:rsid w:val="00F8135F"/>
    <w:rsid w:val="00F8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5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5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5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5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5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F0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7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7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2017-01-09T08:05:00Z</dcterms:created>
  <dcterms:modified xsi:type="dcterms:W3CDTF">2017-01-09T08:05:00Z</dcterms:modified>
</cp:coreProperties>
</file>